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right"/>
        <w:tblInd w:w="5070" w:type="dxa"/>
        <w:tblLook w:val="04A0" w:firstRow="1" w:lastRow="0" w:firstColumn="1" w:lastColumn="0" w:noHBand="0" w:noVBand="1"/>
      </w:tblPr>
      <w:tblGrid>
        <w:gridCol w:w="4501"/>
      </w:tblGrid>
      <w:tr w:rsidR="00DB2968" w:rsidRPr="00BB6A87" w:rsidTr="00FE7975">
        <w:trPr>
          <w:jc w:val="right"/>
        </w:trPr>
        <w:tc>
          <w:tcPr>
            <w:tcW w:w="4501" w:type="dxa"/>
            <w:shd w:val="clear" w:color="auto" w:fill="auto"/>
          </w:tcPr>
          <w:p w:rsidR="00DB2968" w:rsidRPr="00BE4AA6" w:rsidRDefault="00DB2968" w:rsidP="00FE7975">
            <w:pPr>
              <w:spacing w:after="0" w:line="240" w:lineRule="auto"/>
              <w:rPr>
                <w:rFonts w:ascii="Liberation Serif" w:eastAsia="Times New Roman" w:hAnsi="Liberation Serif"/>
                <w:lang w:eastAsia="ru-RU"/>
              </w:rPr>
            </w:pPr>
            <w:r w:rsidRPr="00BE4AA6">
              <w:rPr>
                <w:rFonts w:ascii="Liberation Serif" w:eastAsia="Times New Roman" w:hAnsi="Liberation Serif"/>
                <w:lang w:eastAsia="ru-RU"/>
              </w:rPr>
              <w:t>Утвержден</w:t>
            </w:r>
          </w:p>
          <w:p w:rsidR="00DB2968" w:rsidRPr="00BE4AA6" w:rsidRDefault="00DB2968" w:rsidP="00FE7975">
            <w:pPr>
              <w:spacing w:after="0" w:line="240" w:lineRule="auto"/>
              <w:rPr>
                <w:rFonts w:ascii="Liberation Serif" w:eastAsia="Times New Roman" w:hAnsi="Liberation Serif"/>
                <w:lang w:eastAsia="ru-RU"/>
              </w:rPr>
            </w:pPr>
            <w:r w:rsidRPr="00BE4AA6">
              <w:rPr>
                <w:rFonts w:ascii="Liberation Serif" w:eastAsia="Times New Roman" w:hAnsi="Liberation Serif"/>
                <w:lang w:eastAsia="ru-RU"/>
              </w:rPr>
              <w:t>постановлени</w:t>
            </w:r>
            <w:r>
              <w:rPr>
                <w:rFonts w:ascii="Liberation Serif" w:eastAsia="Times New Roman" w:hAnsi="Liberation Serif"/>
                <w:lang w:eastAsia="ru-RU"/>
              </w:rPr>
              <w:t>ем</w:t>
            </w:r>
            <w:r w:rsidRPr="00BE4AA6">
              <w:rPr>
                <w:rFonts w:ascii="Liberation Serif" w:eastAsia="Times New Roman" w:hAnsi="Liberation Serif"/>
                <w:lang w:eastAsia="ru-RU"/>
              </w:rPr>
              <w:t xml:space="preserve"> Главы</w:t>
            </w:r>
          </w:p>
          <w:p w:rsidR="00DB2968" w:rsidRPr="00BE4AA6" w:rsidRDefault="00DB2968" w:rsidP="00FE7975">
            <w:pPr>
              <w:spacing w:after="0" w:line="240" w:lineRule="auto"/>
              <w:rPr>
                <w:rFonts w:ascii="Liberation Serif" w:eastAsia="Times New Roman" w:hAnsi="Liberation Serif"/>
                <w:lang w:eastAsia="ru-RU"/>
              </w:rPr>
            </w:pPr>
            <w:r w:rsidRPr="00BE4AA6">
              <w:rPr>
                <w:rFonts w:ascii="Liberation Serif" w:eastAsia="Times New Roman" w:hAnsi="Liberation Serif"/>
                <w:lang w:eastAsia="ru-RU"/>
              </w:rPr>
              <w:t>МО «Каменский городской округ»</w:t>
            </w:r>
          </w:p>
          <w:p w:rsidR="00DB2968" w:rsidRDefault="00DB2968" w:rsidP="00FE7975">
            <w:pPr>
              <w:tabs>
                <w:tab w:val="left" w:pos="0"/>
              </w:tabs>
              <w:spacing w:after="0" w:line="240" w:lineRule="auto"/>
              <w:rPr>
                <w:rFonts w:ascii="Liberation Serif" w:hAnsi="Liberation Serif"/>
                <w:sz w:val="24"/>
                <w:szCs w:val="24"/>
                <w:lang w:eastAsia="ru-RU"/>
              </w:rPr>
            </w:pPr>
            <w:r>
              <w:rPr>
                <w:rFonts w:ascii="Liberation Serif" w:eastAsia="Times New Roman" w:hAnsi="Liberation Serif"/>
                <w:lang w:eastAsia="ru-RU"/>
              </w:rPr>
              <w:t xml:space="preserve">от 31.08.2021 </w:t>
            </w:r>
            <w:r w:rsidRPr="00BE4AA6">
              <w:rPr>
                <w:rFonts w:ascii="Liberation Serif" w:eastAsia="Times New Roman" w:hAnsi="Liberation Serif"/>
                <w:lang w:eastAsia="ru-RU"/>
              </w:rPr>
              <w:t xml:space="preserve">г. № </w:t>
            </w:r>
            <w:r>
              <w:rPr>
                <w:rFonts w:ascii="Liberation Serif" w:eastAsia="Times New Roman" w:hAnsi="Liberation Serif"/>
                <w:lang w:eastAsia="ru-RU"/>
              </w:rPr>
              <w:t>1448</w:t>
            </w:r>
            <w:r w:rsidRPr="00BA530C">
              <w:rPr>
                <w:rFonts w:ascii="Liberation Serif" w:hAnsi="Liberation Serif"/>
                <w:sz w:val="24"/>
                <w:szCs w:val="24"/>
                <w:lang w:eastAsia="ru-RU"/>
              </w:rPr>
              <w:t xml:space="preserve"> </w:t>
            </w:r>
          </w:p>
          <w:p w:rsidR="00DB2968" w:rsidRPr="003A4CF3" w:rsidRDefault="00DB2968" w:rsidP="00FE7975">
            <w:pPr>
              <w:tabs>
                <w:tab w:val="left" w:pos="0"/>
              </w:tabs>
              <w:spacing w:after="0" w:line="240" w:lineRule="auto"/>
              <w:rPr>
                <w:rFonts w:ascii="Liberation Serif" w:hAnsi="Liberation Serif"/>
                <w:sz w:val="20"/>
                <w:szCs w:val="20"/>
                <w:lang w:eastAsia="ru-RU"/>
              </w:rPr>
            </w:pPr>
            <w:proofErr w:type="gramStart"/>
            <w:r w:rsidRPr="003A4CF3">
              <w:rPr>
                <w:rFonts w:ascii="Liberation Serif" w:hAnsi="Liberation Serif"/>
                <w:sz w:val="20"/>
                <w:szCs w:val="20"/>
                <w:lang w:eastAsia="ru-RU"/>
              </w:rPr>
              <w:t>«</w:t>
            </w:r>
            <w:r w:rsidRPr="00A90736">
              <w:rPr>
                <w:rFonts w:ascii="Liberation Serif" w:hAnsi="Liberation Serif"/>
                <w:sz w:val="20"/>
                <w:szCs w:val="20"/>
                <w:lang w:eastAsia="ru-RU"/>
              </w:rPr>
              <w:t>Об утверждении реестра (карты) коррупционных рисков, возникающих при осуществлении закупок, плана (реестра) мер, направленных на минимизацию коррупционных рисков, возникающих при осуществлении закупок Думой Каменского городского округа, Контрольным органом Каменского городского округа, Администрацией Каменского городского округа, отраслевыми (функциональными) и территориальными органами Администрации Каменского городского округа и подведомственными им казенными и бюджетными учреждениями, градации степени выраженности параметров «вероятность реализации» и «возможный вред</w:t>
            </w:r>
            <w:proofErr w:type="gramEnd"/>
            <w:r w:rsidRPr="00A90736">
              <w:rPr>
                <w:rFonts w:ascii="Liberation Serif" w:hAnsi="Liberation Serif"/>
                <w:sz w:val="20"/>
                <w:szCs w:val="20"/>
                <w:lang w:eastAsia="ru-RU"/>
              </w:rPr>
              <w:t>»  коррупционных рисков при осуществлении закупок для нужд Думы Каменского городского округа, Контрольного органа Каменского городского округа, Администрации Каменского городского округа, отраслевых (функциональных) и территориальных органов Администрации Каменского городского округа и подведомственных им казенных и бюджетных учреждений</w:t>
            </w:r>
            <w:r w:rsidRPr="003A4CF3">
              <w:rPr>
                <w:rFonts w:ascii="Liberation Serif" w:hAnsi="Liberation Serif"/>
                <w:sz w:val="20"/>
                <w:szCs w:val="20"/>
                <w:lang w:eastAsia="ru-RU"/>
              </w:rPr>
              <w:t>»</w:t>
            </w:r>
          </w:p>
        </w:tc>
      </w:tr>
      <w:tr w:rsidR="00DB2968" w:rsidRPr="00BB6A87" w:rsidTr="00FE7975">
        <w:trPr>
          <w:jc w:val="right"/>
        </w:trPr>
        <w:tc>
          <w:tcPr>
            <w:tcW w:w="4501" w:type="dxa"/>
            <w:shd w:val="clear" w:color="auto" w:fill="auto"/>
          </w:tcPr>
          <w:p w:rsidR="00DB2968" w:rsidRPr="00BB6A87" w:rsidRDefault="00DB2968" w:rsidP="00FE7975">
            <w:pPr>
              <w:tabs>
                <w:tab w:val="left" w:pos="0"/>
              </w:tabs>
              <w:spacing w:after="0" w:line="240" w:lineRule="auto"/>
              <w:rPr>
                <w:rFonts w:ascii="Liberation Serif" w:hAnsi="Liberation Serif"/>
                <w:lang w:eastAsia="ru-RU"/>
              </w:rPr>
            </w:pPr>
          </w:p>
        </w:tc>
      </w:tr>
    </w:tbl>
    <w:p w:rsidR="00DB2968" w:rsidRPr="003A4CF3" w:rsidRDefault="00DB2968" w:rsidP="00DB2968">
      <w:pPr>
        <w:widowControl w:val="0"/>
        <w:tabs>
          <w:tab w:val="left" w:pos="4140"/>
          <w:tab w:val="left" w:pos="4253"/>
          <w:tab w:val="left" w:pos="14601"/>
        </w:tabs>
        <w:spacing w:after="0" w:line="240" w:lineRule="auto"/>
        <w:ind w:right="-31"/>
        <w:jc w:val="center"/>
        <w:rPr>
          <w:rFonts w:ascii="Liberation Serif" w:eastAsia="Times New Roman" w:hAnsi="Liberation Serif"/>
          <w:b/>
          <w:sz w:val="20"/>
          <w:szCs w:val="20"/>
          <w:lang w:eastAsia="ru-RU"/>
        </w:rPr>
      </w:pPr>
      <w:r w:rsidRPr="003A4CF3">
        <w:rPr>
          <w:rFonts w:ascii="Liberation Serif" w:eastAsia="Times New Roman" w:hAnsi="Liberation Serif"/>
          <w:b/>
          <w:sz w:val="20"/>
          <w:szCs w:val="20"/>
          <w:lang w:eastAsia="ru-RU"/>
        </w:rPr>
        <w:t>План (реестр) мер, направленных на минимизацию, коррупционных рисков,</w:t>
      </w:r>
    </w:p>
    <w:p w:rsidR="00DB2968" w:rsidRDefault="00DB2968" w:rsidP="00DB2968">
      <w:pPr>
        <w:autoSpaceDE w:val="0"/>
        <w:autoSpaceDN w:val="0"/>
        <w:adjustRightInd w:val="0"/>
        <w:spacing w:after="0" w:line="240" w:lineRule="auto"/>
        <w:jc w:val="center"/>
        <w:outlineLvl w:val="0"/>
        <w:rPr>
          <w:rFonts w:ascii="Liberation Serif" w:eastAsia="Times New Roman" w:hAnsi="Liberation Serif"/>
          <w:b/>
          <w:sz w:val="20"/>
          <w:szCs w:val="20"/>
          <w:lang w:eastAsia="ru-RU"/>
        </w:rPr>
      </w:pPr>
      <w:r w:rsidRPr="00366D59">
        <w:rPr>
          <w:rFonts w:ascii="Liberation Serif" w:eastAsia="Times New Roman" w:hAnsi="Liberation Serif"/>
          <w:b/>
          <w:sz w:val="20"/>
          <w:szCs w:val="20"/>
          <w:lang w:eastAsia="ru-RU"/>
        </w:rPr>
        <w:t>возникающих при осуществлении закупок Думой Каменского городского округа, Контрольным органом Каменского городского округа, Администрацией Каменского городского округа, отраслевыми (функциональными) и территориальными органами Администрации Каменского городского округа и подведомственными им казенными и бюджетными учреждениями</w:t>
      </w:r>
    </w:p>
    <w:p w:rsidR="00DB2968" w:rsidRPr="003A4CF3" w:rsidRDefault="00DB2968" w:rsidP="00DB2968">
      <w:pPr>
        <w:autoSpaceDE w:val="0"/>
        <w:autoSpaceDN w:val="0"/>
        <w:adjustRightInd w:val="0"/>
        <w:spacing w:after="0" w:line="240" w:lineRule="auto"/>
        <w:jc w:val="center"/>
        <w:outlineLvl w:val="0"/>
        <w:rPr>
          <w:rFonts w:ascii="Liberation Serif" w:hAnsi="Liberation Serif" w:cs="Liberation Serif"/>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2840"/>
        <w:gridCol w:w="3969"/>
        <w:gridCol w:w="1701"/>
        <w:gridCol w:w="3261"/>
        <w:gridCol w:w="2126"/>
      </w:tblGrid>
      <w:tr w:rsidR="00DB2968" w:rsidRPr="003A4CF3" w:rsidTr="00FE7975">
        <w:tc>
          <w:tcPr>
            <w:tcW w:w="624"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jc w:val="center"/>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 xml:space="preserve">N </w:t>
            </w:r>
            <w:proofErr w:type="gramStart"/>
            <w:r w:rsidRPr="003A4CF3">
              <w:rPr>
                <w:rFonts w:ascii="Liberation Serif" w:hAnsi="Liberation Serif" w:cs="Liberation Serif"/>
                <w:sz w:val="20"/>
                <w:szCs w:val="20"/>
                <w:lang w:eastAsia="ru-RU"/>
              </w:rPr>
              <w:t>п</w:t>
            </w:r>
            <w:proofErr w:type="gramEnd"/>
            <w:r w:rsidRPr="003A4CF3">
              <w:rPr>
                <w:rFonts w:ascii="Liberation Serif" w:hAnsi="Liberation Serif" w:cs="Liberation Serif"/>
                <w:sz w:val="20"/>
                <w:szCs w:val="20"/>
                <w:lang w:eastAsia="ru-RU"/>
              </w:rPr>
              <w:t>/п</w:t>
            </w:r>
          </w:p>
        </w:tc>
        <w:tc>
          <w:tcPr>
            <w:tcW w:w="2840"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jc w:val="center"/>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Наименование меры по минимизации коррупционных рисков</w:t>
            </w:r>
          </w:p>
        </w:tc>
        <w:tc>
          <w:tcPr>
            <w:tcW w:w="3969"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jc w:val="center"/>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 xml:space="preserve">Краткое наименование </w:t>
            </w:r>
            <w:proofErr w:type="spellStart"/>
            <w:r w:rsidRPr="003A4CF3">
              <w:rPr>
                <w:rFonts w:ascii="Liberation Serif" w:hAnsi="Liberation Serif" w:cs="Liberation Serif"/>
                <w:sz w:val="20"/>
                <w:szCs w:val="20"/>
                <w:lang w:eastAsia="ru-RU"/>
              </w:rPr>
              <w:t>минимизируемого</w:t>
            </w:r>
            <w:proofErr w:type="spellEnd"/>
            <w:r w:rsidRPr="003A4CF3">
              <w:rPr>
                <w:rFonts w:ascii="Liberation Serif" w:hAnsi="Liberation Serif" w:cs="Liberation Serif"/>
                <w:sz w:val="20"/>
                <w:szCs w:val="20"/>
                <w:lang w:eastAsia="ru-RU"/>
              </w:rPr>
              <w:t xml:space="preserve"> коррупционного риска</w:t>
            </w:r>
          </w:p>
        </w:tc>
        <w:tc>
          <w:tcPr>
            <w:tcW w:w="1701"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jc w:val="center"/>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Срок (периодичность) реализации</w:t>
            </w:r>
          </w:p>
        </w:tc>
        <w:tc>
          <w:tcPr>
            <w:tcW w:w="3261"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jc w:val="center"/>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Ответственный за реализацию служащий (работник)</w:t>
            </w:r>
          </w:p>
        </w:tc>
        <w:tc>
          <w:tcPr>
            <w:tcW w:w="2126"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jc w:val="center"/>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Планируемый результат</w:t>
            </w:r>
          </w:p>
        </w:tc>
      </w:tr>
      <w:tr w:rsidR="00DB2968" w:rsidRPr="003A4CF3" w:rsidTr="00FE7975">
        <w:tc>
          <w:tcPr>
            <w:tcW w:w="624"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lastRenderedPageBreak/>
              <w:t>1.</w:t>
            </w:r>
          </w:p>
        </w:tc>
        <w:tc>
          <w:tcPr>
            <w:tcW w:w="2840"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Повышение квалификации специалистов, осуществляющих разработку и составление технического задания. Использование типовых описаний объекта закупки.</w:t>
            </w:r>
            <w:r w:rsidRPr="003A4CF3">
              <w:rPr>
                <w:rFonts w:ascii="Liberation Serif" w:hAnsi="Liberation Serif"/>
                <w:sz w:val="20"/>
                <w:szCs w:val="20"/>
              </w:rPr>
              <w:t xml:space="preserve"> </w:t>
            </w:r>
            <w:r w:rsidRPr="003A4CF3">
              <w:rPr>
                <w:rFonts w:ascii="Liberation Serif" w:hAnsi="Liberation Serif" w:cs="Liberation Serif"/>
                <w:sz w:val="20"/>
                <w:szCs w:val="20"/>
                <w:lang w:eastAsia="ru-RU"/>
              </w:rPr>
              <w:t>Применение Каталога товаров, работ, услуг и ст.33 ФЗ-44.</w:t>
            </w:r>
          </w:p>
        </w:tc>
        <w:tc>
          <w:tcPr>
            <w:tcW w:w="3969"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Необоснованное расширение (огран</w:t>
            </w:r>
            <w:bookmarkStart w:id="0" w:name="_GoBack"/>
            <w:bookmarkEnd w:id="0"/>
            <w:r w:rsidRPr="003A4CF3">
              <w:rPr>
                <w:rFonts w:ascii="Liberation Serif" w:hAnsi="Liberation Serif" w:cs="Liberation Serif"/>
                <w:sz w:val="20"/>
                <w:szCs w:val="20"/>
                <w:lang w:eastAsia="ru-RU"/>
              </w:rPr>
              <w:t>ичение) круга возможных участников закупок посредством расширения (сужения) круга лиц, удовлетворяющих потребностям заказчика. Предварительный сговор с участниками закупки при описании объекта закупки.</w:t>
            </w:r>
          </w:p>
        </w:tc>
        <w:tc>
          <w:tcPr>
            <w:tcW w:w="1701"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Постоянно</w:t>
            </w:r>
          </w:p>
        </w:tc>
        <w:tc>
          <w:tcPr>
            <w:tcW w:w="3261"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Специалисты, отвечающие за разработку технического задания (описания объекта закупки).</w:t>
            </w:r>
          </w:p>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Специалисты контрактной службы.</w:t>
            </w:r>
          </w:p>
        </w:tc>
        <w:tc>
          <w:tcPr>
            <w:tcW w:w="2126"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Минимизация коррупционных рисков</w:t>
            </w:r>
          </w:p>
        </w:tc>
      </w:tr>
      <w:tr w:rsidR="00DB2968" w:rsidRPr="003A4CF3" w:rsidTr="00FE7975">
        <w:tc>
          <w:tcPr>
            <w:tcW w:w="624"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2.</w:t>
            </w:r>
          </w:p>
        </w:tc>
        <w:tc>
          <w:tcPr>
            <w:tcW w:w="2840"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Проведение мониторинга цен на товары, работы, услуги в целях недопущения завышения (занижения) начальных (максимальных) цен контрактов при осуществлении закупок</w:t>
            </w:r>
          </w:p>
        </w:tc>
        <w:tc>
          <w:tcPr>
            <w:tcW w:w="3969"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Необоснованно завышена (занижена) начальная (максимальная) цена контракта.</w:t>
            </w:r>
          </w:p>
        </w:tc>
        <w:tc>
          <w:tcPr>
            <w:tcW w:w="1701"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Постоянно</w:t>
            </w:r>
          </w:p>
        </w:tc>
        <w:tc>
          <w:tcPr>
            <w:tcW w:w="3261" w:type="dxa"/>
            <w:tcBorders>
              <w:top w:val="single" w:sz="4" w:space="0" w:color="auto"/>
              <w:left w:val="single" w:sz="4" w:space="0" w:color="auto"/>
              <w:bottom w:val="single" w:sz="4" w:space="0" w:color="auto"/>
              <w:right w:val="single" w:sz="4" w:space="0" w:color="auto"/>
            </w:tcBorders>
          </w:tcPr>
          <w:p w:rsidR="00DB2968"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985BC2">
              <w:rPr>
                <w:rFonts w:ascii="Liberation Serif" w:hAnsi="Liberation Serif" w:cs="Liberation Serif"/>
                <w:sz w:val="20"/>
                <w:szCs w:val="20"/>
                <w:lang w:eastAsia="ru-RU"/>
              </w:rPr>
              <w:t>Контрактный управляющий</w:t>
            </w:r>
          </w:p>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Специалисты контрактной службы</w:t>
            </w:r>
          </w:p>
        </w:tc>
        <w:tc>
          <w:tcPr>
            <w:tcW w:w="2126"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Минимизация коррупционных рисков</w:t>
            </w:r>
          </w:p>
        </w:tc>
      </w:tr>
      <w:tr w:rsidR="00DB2968" w:rsidRPr="003A4CF3" w:rsidTr="00FE7975">
        <w:tc>
          <w:tcPr>
            <w:tcW w:w="624"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3.</w:t>
            </w:r>
          </w:p>
        </w:tc>
        <w:tc>
          <w:tcPr>
            <w:tcW w:w="2840"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Внедрение системы эффективного планирования закупок.</w:t>
            </w:r>
          </w:p>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 xml:space="preserve">Проведение мониторинга на предмет выявления неоднократных закупок однородных товаров, работ, услуг. </w:t>
            </w:r>
          </w:p>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Обоснование заказчиком способа определения поставщика.</w:t>
            </w:r>
          </w:p>
        </w:tc>
        <w:tc>
          <w:tcPr>
            <w:tcW w:w="3969"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Необоснованное, неоднократное  заключение контракта с единственным поставщиком (подрядчиком, исполнителем) без проведения конкурентных процедур в нарушение  требований ч.1 ст. 93 Федерального закона № 44-ФЗ.</w:t>
            </w:r>
          </w:p>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Искусственное дробление закупок на несколько отдельных, с целью упрощения способа закупки.</w:t>
            </w:r>
          </w:p>
        </w:tc>
        <w:tc>
          <w:tcPr>
            <w:tcW w:w="1701"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Постоянно</w:t>
            </w:r>
          </w:p>
        </w:tc>
        <w:tc>
          <w:tcPr>
            <w:tcW w:w="3261"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Руководитель контрактной службы (контрактный управляющий).</w:t>
            </w:r>
          </w:p>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Специалисты, отвечающие за разработку технического задания (описания объекта закупки).</w:t>
            </w:r>
          </w:p>
        </w:tc>
        <w:tc>
          <w:tcPr>
            <w:tcW w:w="2126"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Минимизация коррупционных рисков</w:t>
            </w:r>
          </w:p>
        </w:tc>
      </w:tr>
      <w:tr w:rsidR="00DB2968" w:rsidRPr="003A4CF3" w:rsidTr="00FE7975">
        <w:tc>
          <w:tcPr>
            <w:tcW w:w="624"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4.</w:t>
            </w:r>
          </w:p>
        </w:tc>
        <w:tc>
          <w:tcPr>
            <w:tcW w:w="2840"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Запрет на умышленное, неправомерное включение в документацию о закупках условий, ограничивающих конкуренцию</w:t>
            </w:r>
          </w:p>
        </w:tc>
        <w:tc>
          <w:tcPr>
            <w:tcW w:w="3969"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Установление необоснованных преимуще</w:t>
            </w:r>
            <w:proofErr w:type="gramStart"/>
            <w:r w:rsidRPr="003A4CF3">
              <w:rPr>
                <w:rFonts w:ascii="Liberation Serif" w:hAnsi="Liberation Serif" w:cs="Liberation Serif"/>
                <w:sz w:val="20"/>
                <w:szCs w:val="20"/>
                <w:lang w:eastAsia="ru-RU"/>
              </w:rPr>
              <w:t>ств дл</w:t>
            </w:r>
            <w:proofErr w:type="gramEnd"/>
            <w:r w:rsidRPr="003A4CF3">
              <w:rPr>
                <w:rFonts w:ascii="Liberation Serif" w:hAnsi="Liberation Serif" w:cs="Liberation Serif"/>
                <w:sz w:val="20"/>
                <w:szCs w:val="20"/>
                <w:lang w:eastAsia="ru-RU"/>
              </w:rPr>
              <w:t xml:space="preserve">я отдельных лиц при осуществлении закупок товаров, работ, услуг. Разночтение извещения с документацией. Противоречивость объекта закупки, условий исполнения контракта, условий приемки объекта закупки, гарантийных условий. </w:t>
            </w:r>
          </w:p>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 xml:space="preserve">Объединение в одну закупку разных </w:t>
            </w:r>
            <w:r w:rsidRPr="003A4CF3">
              <w:rPr>
                <w:rFonts w:ascii="Liberation Serif" w:hAnsi="Liberation Serif" w:cs="Liberation Serif"/>
                <w:sz w:val="20"/>
                <w:szCs w:val="20"/>
                <w:lang w:eastAsia="ru-RU"/>
              </w:rPr>
              <w:lastRenderedPageBreak/>
              <w:t>объектов закупки. Включение в извещение, документацию требований о поставке товаров, выполнении работ, оказании услуг, ограничивающих участие других лиц.</w:t>
            </w:r>
          </w:p>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 xml:space="preserve"> Предварительный сговор с участниками закупки.</w:t>
            </w:r>
          </w:p>
        </w:tc>
        <w:tc>
          <w:tcPr>
            <w:tcW w:w="1701"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lastRenderedPageBreak/>
              <w:t>Постоянно</w:t>
            </w:r>
          </w:p>
        </w:tc>
        <w:tc>
          <w:tcPr>
            <w:tcW w:w="3261"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Руководитель контрактной службы (контрактный управляющий).</w:t>
            </w:r>
          </w:p>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Специалисты контрактной службы.</w:t>
            </w:r>
          </w:p>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Уполномоченный орган.</w:t>
            </w:r>
          </w:p>
        </w:tc>
        <w:tc>
          <w:tcPr>
            <w:tcW w:w="2126"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Минимизация коррупционных рисков</w:t>
            </w:r>
          </w:p>
        </w:tc>
      </w:tr>
      <w:tr w:rsidR="00DB2968" w:rsidRPr="003A4CF3" w:rsidTr="00FE7975">
        <w:tc>
          <w:tcPr>
            <w:tcW w:w="624"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lastRenderedPageBreak/>
              <w:t>5.</w:t>
            </w:r>
          </w:p>
        </w:tc>
        <w:tc>
          <w:tcPr>
            <w:tcW w:w="2840"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 xml:space="preserve">Нормативное закрепление порядка раскрытия конфликта интересов и его урегулирования, повышение личной ответственности членов комиссии путем подписания ими заявлений об отсутствии конфликта интересов. Нормативное регулирование порядка и сроков совершения действия работниками при осуществлении </w:t>
            </w:r>
            <w:proofErr w:type="spellStart"/>
            <w:r w:rsidRPr="003A4CF3">
              <w:rPr>
                <w:rFonts w:ascii="Liberation Serif" w:hAnsi="Liberation Serif" w:cs="Liberation Serif"/>
                <w:sz w:val="20"/>
                <w:szCs w:val="20"/>
                <w:lang w:eastAsia="ru-RU"/>
              </w:rPr>
              <w:t>коррупционно</w:t>
            </w:r>
            <w:proofErr w:type="spellEnd"/>
            <w:r w:rsidRPr="003A4CF3">
              <w:rPr>
                <w:rFonts w:ascii="Liberation Serif" w:hAnsi="Liberation Serif" w:cs="Liberation Serif"/>
                <w:sz w:val="20"/>
                <w:szCs w:val="20"/>
                <w:lang w:eastAsia="ru-RU"/>
              </w:rPr>
              <w:t xml:space="preserve"> – опасной функции.</w:t>
            </w:r>
          </w:p>
        </w:tc>
        <w:tc>
          <w:tcPr>
            <w:tcW w:w="3969"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rPr>
                <w:rFonts w:ascii="Liberation Serif" w:hAnsi="Liberation Serif"/>
                <w:sz w:val="20"/>
                <w:szCs w:val="20"/>
              </w:rPr>
            </w:pPr>
            <w:r w:rsidRPr="003A4CF3">
              <w:rPr>
                <w:rFonts w:ascii="Liberation Serif" w:hAnsi="Liberation Serif"/>
                <w:sz w:val="20"/>
                <w:szCs w:val="20"/>
              </w:rPr>
              <w:t>Постоянно</w:t>
            </w:r>
          </w:p>
        </w:tc>
        <w:tc>
          <w:tcPr>
            <w:tcW w:w="3261"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spacing w:after="0" w:line="240" w:lineRule="auto"/>
              <w:rPr>
                <w:rFonts w:ascii="Liberation Serif" w:hAnsi="Liberation Serif"/>
                <w:sz w:val="20"/>
                <w:szCs w:val="20"/>
              </w:rPr>
            </w:pPr>
            <w:r w:rsidRPr="003A4CF3">
              <w:rPr>
                <w:rFonts w:ascii="Liberation Serif" w:hAnsi="Liberation Serif"/>
                <w:sz w:val="20"/>
                <w:szCs w:val="20"/>
              </w:rPr>
              <w:t>Руководитель контрактной службы (контрактный управляющий).</w:t>
            </w:r>
          </w:p>
          <w:p w:rsidR="00DB2968" w:rsidRPr="003A4CF3" w:rsidRDefault="00DB2968" w:rsidP="00FE7975">
            <w:pPr>
              <w:spacing w:after="0" w:line="240" w:lineRule="auto"/>
              <w:rPr>
                <w:rFonts w:ascii="Liberation Serif" w:hAnsi="Liberation Serif"/>
                <w:sz w:val="20"/>
                <w:szCs w:val="20"/>
              </w:rPr>
            </w:pPr>
            <w:r w:rsidRPr="003A4CF3">
              <w:rPr>
                <w:rFonts w:ascii="Liberation Serif" w:hAnsi="Liberation Serif"/>
                <w:sz w:val="20"/>
                <w:szCs w:val="20"/>
              </w:rPr>
              <w:t>Специалисты контрактной службы.</w:t>
            </w:r>
          </w:p>
          <w:p w:rsidR="00DB2968" w:rsidRPr="003A4CF3" w:rsidRDefault="00DB2968" w:rsidP="00FE7975">
            <w:pPr>
              <w:spacing w:after="0" w:line="240" w:lineRule="auto"/>
              <w:rPr>
                <w:rFonts w:ascii="Liberation Serif" w:hAnsi="Liberation Serif"/>
                <w:sz w:val="20"/>
                <w:szCs w:val="20"/>
              </w:rPr>
            </w:pPr>
            <w:r w:rsidRPr="003A4CF3">
              <w:rPr>
                <w:rFonts w:ascii="Liberation Serif" w:hAnsi="Liberation Serif"/>
                <w:sz w:val="20"/>
                <w:szCs w:val="20"/>
              </w:rPr>
              <w:t>Уполномоченный орган.</w:t>
            </w:r>
          </w:p>
          <w:p w:rsidR="00DB2968" w:rsidRPr="003A4CF3" w:rsidRDefault="00DB2968" w:rsidP="00FE7975">
            <w:pPr>
              <w:spacing w:after="0" w:line="240" w:lineRule="auto"/>
              <w:rPr>
                <w:rFonts w:ascii="Liberation Serif" w:hAnsi="Liberation Serif"/>
                <w:sz w:val="20"/>
                <w:szCs w:val="20"/>
              </w:rPr>
            </w:pPr>
            <w:r w:rsidRPr="003A4CF3">
              <w:rPr>
                <w:rFonts w:ascii="Liberation Serif" w:hAnsi="Liberation Serif"/>
                <w:sz w:val="20"/>
                <w:szCs w:val="20"/>
              </w:rPr>
              <w:t>Единая комиссия заказчика.</w:t>
            </w:r>
          </w:p>
        </w:tc>
        <w:tc>
          <w:tcPr>
            <w:tcW w:w="2126"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rPr>
                <w:rFonts w:ascii="Liberation Serif" w:hAnsi="Liberation Serif"/>
                <w:sz w:val="20"/>
                <w:szCs w:val="20"/>
              </w:rPr>
            </w:pPr>
            <w:r w:rsidRPr="003A4CF3">
              <w:rPr>
                <w:rFonts w:ascii="Liberation Serif" w:hAnsi="Liberation Serif"/>
                <w:sz w:val="20"/>
                <w:szCs w:val="20"/>
              </w:rPr>
              <w:t>Минимизация коррупционных рисков</w:t>
            </w:r>
          </w:p>
        </w:tc>
      </w:tr>
      <w:tr w:rsidR="00DB2968" w:rsidRPr="003A4CF3" w:rsidTr="00FE7975">
        <w:tc>
          <w:tcPr>
            <w:tcW w:w="624"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6.</w:t>
            </w:r>
          </w:p>
        </w:tc>
        <w:tc>
          <w:tcPr>
            <w:tcW w:w="2840"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 xml:space="preserve">Нормативное регулирование порядка и сроков совершения действия работниками при осуществлении </w:t>
            </w:r>
            <w:proofErr w:type="spellStart"/>
            <w:r w:rsidRPr="003A4CF3">
              <w:rPr>
                <w:rFonts w:ascii="Liberation Serif" w:hAnsi="Liberation Serif" w:cs="Liberation Serif"/>
                <w:sz w:val="20"/>
                <w:szCs w:val="20"/>
                <w:lang w:eastAsia="ru-RU"/>
              </w:rPr>
              <w:t>коррупционно</w:t>
            </w:r>
            <w:proofErr w:type="spellEnd"/>
            <w:r w:rsidRPr="003A4CF3">
              <w:rPr>
                <w:rFonts w:ascii="Liberation Serif" w:hAnsi="Liberation Serif" w:cs="Liberation Serif"/>
                <w:sz w:val="20"/>
                <w:szCs w:val="20"/>
                <w:lang w:eastAsia="ru-RU"/>
              </w:rPr>
              <w:t xml:space="preserve"> – опасной функции.</w:t>
            </w:r>
          </w:p>
        </w:tc>
        <w:tc>
          <w:tcPr>
            <w:tcW w:w="3969"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 xml:space="preserve">Необоснованные изменения условий контракта. Затягивание (ускорение) заключения контракта. </w:t>
            </w:r>
          </w:p>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 xml:space="preserve">Запрос недопустимых или необъявленных документов и сведений при заключении контракта. </w:t>
            </w:r>
          </w:p>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Необоснованный отказ от заключения контракта.</w:t>
            </w:r>
          </w:p>
        </w:tc>
        <w:tc>
          <w:tcPr>
            <w:tcW w:w="1701"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rPr>
                <w:rFonts w:ascii="Liberation Serif" w:hAnsi="Liberation Serif"/>
                <w:sz w:val="20"/>
                <w:szCs w:val="20"/>
              </w:rPr>
            </w:pPr>
            <w:r w:rsidRPr="003A4CF3">
              <w:rPr>
                <w:rFonts w:ascii="Liberation Serif" w:hAnsi="Liberation Serif"/>
                <w:sz w:val="20"/>
                <w:szCs w:val="20"/>
              </w:rPr>
              <w:t>Постоянно</w:t>
            </w:r>
          </w:p>
        </w:tc>
        <w:tc>
          <w:tcPr>
            <w:tcW w:w="3261"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spacing w:after="0" w:line="240" w:lineRule="auto"/>
              <w:rPr>
                <w:rFonts w:ascii="Liberation Serif" w:hAnsi="Liberation Serif"/>
                <w:sz w:val="20"/>
                <w:szCs w:val="20"/>
              </w:rPr>
            </w:pPr>
            <w:r w:rsidRPr="003A4CF3">
              <w:rPr>
                <w:rFonts w:ascii="Liberation Serif" w:hAnsi="Liberation Serif"/>
                <w:sz w:val="20"/>
                <w:szCs w:val="20"/>
              </w:rPr>
              <w:t>Руководитель контрактной службы (контрактный управляющий).</w:t>
            </w:r>
          </w:p>
          <w:p w:rsidR="00DB2968" w:rsidRPr="003A4CF3" w:rsidRDefault="00DB2968" w:rsidP="00FE7975">
            <w:pPr>
              <w:spacing w:after="0" w:line="240" w:lineRule="auto"/>
              <w:rPr>
                <w:rFonts w:ascii="Liberation Serif" w:hAnsi="Liberation Serif"/>
                <w:sz w:val="20"/>
                <w:szCs w:val="20"/>
              </w:rPr>
            </w:pPr>
            <w:r w:rsidRPr="003A4CF3">
              <w:rPr>
                <w:rFonts w:ascii="Liberation Serif" w:hAnsi="Liberation Serif"/>
                <w:sz w:val="20"/>
                <w:szCs w:val="20"/>
              </w:rPr>
              <w:t>Специалисты, отвечающие за разработку технического задания (описания объекта закупки).</w:t>
            </w:r>
          </w:p>
        </w:tc>
        <w:tc>
          <w:tcPr>
            <w:tcW w:w="2126"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rPr>
                <w:rFonts w:ascii="Liberation Serif" w:hAnsi="Liberation Serif"/>
                <w:sz w:val="20"/>
                <w:szCs w:val="20"/>
              </w:rPr>
            </w:pPr>
            <w:r w:rsidRPr="003A4CF3">
              <w:rPr>
                <w:rFonts w:ascii="Liberation Serif" w:hAnsi="Liberation Serif"/>
                <w:sz w:val="20"/>
                <w:szCs w:val="20"/>
              </w:rPr>
              <w:t>Минимизация коррупционных рисков</w:t>
            </w:r>
          </w:p>
        </w:tc>
      </w:tr>
      <w:tr w:rsidR="00DB2968" w:rsidRPr="003A4CF3" w:rsidTr="00FE7975">
        <w:tc>
          <w:tcPr>
            <w:tcW w:w="624"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7.</w:t>
            </w:r>
          </w:p>
        </w:tc>
        <w:tc>
          <w:tcPr>
            <w:tcW w:w="2840"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 xml:space="preserve">Привлечение экспертов к проведению проверки предоставленных поставщиком результатов, предусмотренных контрактом. Комиссионный прием результатов выполненных работ (поставленных товаров, </w:t>
            </w:r>
            <w:r w:rsidRPr="003A4CF3">
              <w:rPr>
                <w:rFonts w:ascii="Liberation Serif" w:hAnsi="Liberation Serif" w:cs="Liberation Serif"/>
                <w:sz w:val="20"/>
                <w:szCs w:val="20"/>
                <w:lang w:eastAsia="ru-RU"/>
              </w:rPr>
              <w:lastRenderedPageBreak/>
              <w:t>оказанных услуг).</w:t>
            </w:r>
          </w:p>
        </w:tc>
        <w:tc>
          <w:tcPr>
            <w:tcW w:w="3969"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lastRenderedPageBreak/>
              <w:t xml:space="preserve">Умышленное, неправомерное нарушение установленных муниципальным контрактом сроков приемки поставленных товаров, выполненных работ, оказанных услуг и подлог результатов приемки. Необоснованно жесткие (мягкие) или необъявленные условия приемки продукции по контракту. </w:t>
            </w:r>
          </w:p>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lastRenderedPageBreak/>
              <w:t xml:space="preserve">Подписание актов приемки поставленных товаров, выполненных работ, оказанных услуг с нарушением требований муниципального контракта. </w:t>
            </w:r>
          </w:p>
          <w:p w:rsidR="00DB2968" w:rsidRPr="003A4CF3" w:rsidRDefault="00DB2968"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Необоснованное отсутствие контроля над исполнением гарантий или игнорирование гарантийного периода.</w:t>
            </w:r>
          </w:p>
        </w:tc>
        <w:tc>
          <w:tcPr>
            <w:tcW w:w="1701"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rPr>
                <w:rFonts w:ascii="Liberation Serif" w:hAnsi="Liberation Serif"/>
                <w:sz w:val="20"/>
                <w:szCs w:val="20"/>
              </w:rPr>
            </w:pPr>
            <w:r w:rsidRPr="003A4CF3">
              <w:rPr>
                <w:rFonts w:ascii="Liberation Serif" w:hAnsi="Liberation Serif"/>
                <w:sz w:val="20"/>
                <w:szCs w:val="20"/>
              </w:rPr>
              <w:lastRenderedPageBreak/>
              <w:t>Постоянно</w:t>
            </w:r>
          </w:p>
        </w:tc>
        <w:tc>
          <w:tcPr>
            <w:tcW w:w="3261"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spacing w:after="0" w:line="240" w:lineRule="auto"/>
              <w:rPr>
                <w:rFonts w:ascii="Liberation Serif" w:hAnsi="Liberation Serif"/>
                <w:sz w:val="20"/>
                <w:szCs w:val="20"/>
              </w:rPr>
            </w:pPr>
            <w:r w:rsidRPr="003A4CF3">
              <w:rPr>
                <w:rFonts w:ascii="Liberation Serif" w:hAnsi="Liberation Serif"/>
                <w:sz w:val="20"/>
                <w:szCs w:val="20"/>
              </w:rPr>
              <w:t>Руководитель контрактной службы (контрактный управляющий).</w:t>
            </w:r>
          </w:p>
          <w:p w:rsidR="00DB2968" w:rsidRPr="003A4CF3" w:rsidRDefault="00DB2968" w:rsidP="00FE7975">
            <w:pPr>
              <w:spacing w:after="0" w:line="240" w:lineRule="auto"/>
              <w:rPr>
                <w:rFonts w:ascii="Liberation Serif" w:hAnsi="Liberation Serif"/>
                <w:sz w:val="20"/>
                <w:szCs w:val="20"/>
              </w:rPr>
            </w:pPr>
            <w:r w:rsidRPr="003A4CF3">
              <w:rPr>
                <w:rFonts w:ascii="Liberation Serif" w:hAnsi="Liberation Serif"/>
                <w:sz w:val="20"/>
                <w:szCs w:val="20"/>
              </w:rPr>
              <w:t>Специалисты, отвечающие за разработку технического задания (описания объекта закупки).</w:t>
            </w:r>
          </w:p>
          <w:p w:rsidR="00DB2968" w:rsidRPr="003A4CF3" w:rsidRDefault="00DB2968" w:rsidP="00FE7975">
            <w:pPr>
              <w:spacing w:after="0" w:line="240" w:lineRule="auto"/>
              <w:rPr>
                <w:rFonts w:ascii="Liberation Serif" w:hAnsi="Liberation Serif"/>
                <w:sz w:val="20"/>
                <w:szCs w:val="20"/>
              </w:rPr>
            </w:pPr>
            <w:r w:rsidRPr="003A4CF3">
              <w:rPr>
                <w:rFonts w:ascii="Liberation Serif" w:hAnsi="Liberation Serif"/>
                <w:sz w:val="20"/>
                <w:szCs w:val="20"/>
              </w:rPr>
              <w:t>Технические заказчики.</w:t>
            </w:r>
          </w:p>
        </w:tc>
        <w:tc>
          <w:tcPr>
            <w:tcW w:w="2126" w:type="dxa"/>
            <w:tcBorders>
              <w:top w:val="single" w:sz="4" w:space="0" w:color="auto"/>
              <w:left w:val="single" w:sz="4" w:space="0" w:color="auto"/>
              <w:bottom w:val="single" w:sz="4" w:space="0" w:color="auto"/>
              <w:right w:val="single" w:sz="4" w:space="0" w:color="auto"/>
            </w:tcBorders>
          </w:tcPr>
          <w:p w:rsidR="00DB2968" w:rsidRPr="003A4CF3" w:rsidRDefault="00DB2968" w:rsidP="00FE7975">
            <w:pPr>
              <w:rPr>
                <w:rFonts w:ascii="Liberation Serif" w:hAnsi="Liberation Serif"/>
                <w:sz w:val="20"/>
                <w:szCs w:val="20"/>
              </w:rPr>
            </w:pPr>
            <w:r w:rsidRPr="003A4CF3">
              <w:rPr>
                <w:rFonts w:ascii="Liberation Serif" w:hAnsi="Liberation Serif"/>
                <w:sz w:val="20"/>
                <w:szCs w:val="20"/>
              </w:rPr>
              <w:t>Минимизация коррупционных рисков</w:t>
            </w:r>
          </w:p>
        </w:tc>
      </w:tr>
    </w:tbl>
    <w:p w:rsidR="00DB2968" w:rsidRPr="003A4CF3" w:rsidRDefault="00DB2968" w:rsidP="00DB2968">
      <w:pPr>
        <w:tabs>
          <w:tab w:val="left" w:pos="3502"/>
        </w:tabs>
        <w:rPr>
          <w:rFonts w:ascii="Liberation Serif" w:hAnsi="Liberation Serif"/>
          <w:sz w:val="20"/>
          <w:szCs w:val="20"/>
          <w:lang w:eastAsia="ru-RU"/>
        </w:rPr>
      </w:pPr>
    </w:p>
    <w:p w:rsidR="005A65B9" w:rsidRDefault="005A65B9"/>
    <w:sectPr w:rsidR="005A65B9" w:rsidSect="00DB2968">
      <w:headerReference w:type="default" r:id="rId7"/>
      <w:pgSz w:w="16838" w:h="11906" w:orient="landscape"/>
      <w:pgMar w:top="1701" w:right="1134" w:bottom="850" w:left="1134"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459" w:rsidRDefault="002A0459" w:rsidP="00DB2968">
      <w:pPr>
        <w:spacing w:after="0" w:line="240" w:lineRule="auto"/>
      </w:pPr>
      <w:r>
        <w:separator/>
      </w:r>
    </w:p>
  </w:endnote>
  <w:endnote w:type="continuationSeparator" w:id="0">
    <w:p w:rsidR="002A0459" w:rsidRDefault="002A0459" w:rsidP="00DB2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459" w:rsidRDefault="002A0459" w:rsidP="00DB2968">
      <w:pPr>
        <w:spacing w:after="0" w:line="240" w:lineRule="auto"/>
      </w:pPr>
      <w:r>
        <w:separator/>
      </w:r>
    </w:p>
  </w:footnote>
  <w:footnote w:type="continuationSeparator" w:id="0">
    <w:p w:rsidR="002A0459" w:rsidRDefault="002A0459" w:rsidP="00DB29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7656457"/>
      <w:docPartObj>
        <w:docPartGallery w:val="Page Numbers (Top of Page)"/>
        <w:docPartUnique/>
      </w:docPartObj>
    </w:sdtPr>
    <w:sdtContent>
      <w:p w:rsidR="00DB2968" w:rsidRDefault="00DB2968">
        <w:pPr>
          <w:pStyle w:val="a3"/>
          <w:jc w:val="center"/>
        </w:pPr>
        <w:r w:rsidRPr="00DB2968">
          <w:rPr>
            <w:sz w:val="20"/>
            <w:szCs w:val="20"/>
          </w:rPr>
          <w:fldChar w:fldCharType="begin"/>
        </w:r>
        <w:r w:rsidRPr="00DB2968">
          <w:rPr>
            <w:sz w:val="20"/>
            <w:szCs w:val="20"/>
          </w:rPr>
          <w:instrText>PAGE   \* MERGEFORMAT</w:instrText>
        </w:r>
        <w:r w:rsidRPr="00DB2968">
          <w:rPr>
            <w:sz w:val="20"/>
            <w:szCs w:val="20"/>
          </w:rPr>
          <w:fldChar w:fldCharType="separate"/>
        </w:r>
        <w:r>
          <w:rPr>
            <w:noProof/>
            <w:sz w:val="20"/>
            <w:szCs w:val="20"/>
          </w:rPr>
          <w:t>4</w:t>
        </w:r>
        <w:r w:rsidRPr="00DB2968">
          <w:rPr>
            <w:sz w:val="20"/>
            <w:szCs w:val="20"/>
          </w:rPr>
          <w:fldChar w:fldCharType="end"/>
        </w:r>
      </w:p>
    </w:sdtContent>
  </w:sdt>
  <w:p w:rsidR="00DB2968" w:rsidRDefault="00DB296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DE3"/>
    <w:rsid w:val="002A0459"/>
    <w:rsid w:val="005A65B9"/>
    <w:rsid w:val="00A14DE3"/>
    <w:rsid w:val="00DB29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968"/>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296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B2968"/>
    <w:rPr>
      <w:rFonts w:ascii="Times New Roman" w:eastAsia="Calibri" w:hAnsi="Times New Roman" w:cs="Times New Roman"/>
      <w:sz w:val="28"/>
      <w:szCs w:val="28"/>
    </w:rPr>
  </w:style>
  <w:style w:type="paragraph" w:styleId="a5">
    <w:name w:val="footer"/>
    <w:basedOn w:val="a"/>
    <w:link w:val="a6"/>
    <w:uiPriority w:val="99"/>
    <w:unhideWhenUsed/>
    <w:rsid w:val="00DB296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B2968"/>
    <w:rPr>
      <w:rFonts w:ascii="Times New Roman" w:eastAsia="Calibri"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968"/>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296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B2968"/>
    <w:rPr>
      <w:rFonts w:ascii="Times New Roman" w:eastAsia="Calibri" w:hAnsi="Times New Roman" w:cs="Times New Roman"/>
      <w:sz w:val="28"/>
      <w:szCs w:val="28"/>
    </w:rPr>
  </w:style>
  <w:style w:type="paragraph" w:styleId="a5">
    <w:name w:val="footer"/>
    <w:basedOn w:val="a"/>
    <w:link w:val="a6"/>
    <w:uiPriority w:val="99"/>
    <w:unhideWhenUsed/>
    <w:rsid w:val="00DB296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B2968"/>
    <w:rPr>
      <w:rFonts w:ascii="Times New Roman" w:eastAsia="Calibri"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897</Words>
  <Characters>5117</Characters>
  <Application>Microsoft Office Word</Application>
  <DocSecurity>0</DocSecurity>
  <Lines>42</Lines>
  <Paragraphs>12</Paragraphs>
  <ScaleCrop>false</ScaleCrop>
  <Company/>
  <LinksUpToDate>false</LinksUpToDate>
  <CharactersWithSpaces>6002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2</cp:lastModifiedBy>
  <cp:revision>2</cp:revision>
  <dcterms:created xsi:type="dcterms:W3CDTF">2021-09-02T04:25:00Z</dcterms:created>
  <dcterms:modified xsi:type="dcterms:W3CDTF">2021-09-02T04:26:00Z</dcterms:modified>
</cp:coreProperties>
</file>